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7A" w:rsidRPr="005B601D" w:rsidRDefault="0034217A" w:rsidP="0034217A">
      <w:pPr>
        <w:tabs>
          <w:tab w:val="right" w:pos="9355"/>
        </w:tabs>
        <w:spacing w:after="0" w:line="0" w:lineRule="atLeast"/>
      </w:pPr>
      <w:r w:rsidRPr="005B601D">
        <w:t>Принято:</w:t>
      </w:r>
      <w:r w:rsidRPr="005B601D">
        <w:tab/>
        <w:t>Утверждаю</w:t>
      </w:r>
    </w:p>
    <w:p w:rsidR="0034217A" w:rsidRPr="005B601D" w:rsidRDefault="0034217A" w:rsidP="0034217A">
      <w:pPr>
        <w:tabs>
          <w:tab w:val="right" w:pos="9355"/>
        </w:tabs>
        <w:spacing w:after="0" w:line="0" w:lineRule="atLeast"/>
      </w:pPr>
      <w:r w:rsidRPr="005B601D">
        <w:t>на педагогическом Совете</w:t>
      </w:r>
      <w:r w:rsidRPr="005B601D">
        <w:tab/>
        <w:t>Заведующая  _________</w:t>
      </w:r>
      <w:proofErr w:type="spellStart"/>
      <w:r w:rsidRPr="005B601D">
        <w:t>М.А.Баисова</w:t>
      </w:r>
      <w:proofErr w:type="spellEnd"/>
    </w:p>
    <w:p w:rsidR="0034217A" w:rsidRPr="005B601D" w:rsidRDefault="0034217A" w:rsidP="0034217A">
      <w:pPr>
        <w:tabs>
          <w:tab w:val="left" w:pos="5653"/>
        </w:tabs>
        <w:spacing w:after="0" w:line="0" w:lineRule="atLeast"/>
      </w:pPr>
      <w:r>
        <w:t>Протокол № 3</w:t>
      </w:r>
      <w:r w:rsidRPr="005B601D">
        <w:tab/>
      </w:r>
      <w:r>
        <w:t xml:space="preserve">                                       </w:t>
      </w:r>
      <w:r w:rsidRPr="005B601D">
        <w:t>Приказ №</w:t>
      </w:r>
      <w:r>
        <w:t xml:space="preserve"> 12</w:t>
      </w:r>
    </w:p>
    <w:p w:rsidR="0034217A" w:rsidRPr="005B601D" w:rsidRDefault="0034217A" w:rsidP="0034217A">
      <w:pPr>
        <w:tabs>
          <w:tab w:val="left" w:pos="5653"/>
        </w:tabs>
        <w:spacing w:after="0" w:line="0" w:lineRule="atLeast"/>
      </w:pPr>
      <w:r>
        <w:t>от 22.03.</w:t>
      </w:r>
      <w:r w:rsidR="004F017A">
        <w:t>2021</w:t>
      </w:r>
      <w:r w:rsidRPr="005B601D">
        <w:t>г.</w:t>
      </w:r>
      <w:r w:rsidRPr="005B601D">
        <w:tab/>
      </w:r>
      <w:r>
        <w:t xml:space="preserve">                                    от </w:t>
      </w:r>
      <w:bookmarkStart w:id="0" w:name="_GoBack"/>
      <w:r>
        <w:t>22.03.</w:t>
      </w:r>
      <w:r w:rsidR="004F017A">
        <w:t>2021</w:t>
      </w:r>
      <w:r w:rsidRPr="005B601D">
        <w:t>г.</w:t>
      </w:r>
    </w:p>
    <w:bookmarkEnd w:id="0"/>
    <w:p w:rsidR="0034217A" w:rsidRDefault="0034217A" w:rsidP="0034217A">
      <w:pPr>
        <w:keepNext/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</w:p>
    <w:p w:rsidR="0034217A" w:rsidRP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Положение</w:t>
      </w:r>
    </w:p>
    <w:p w:rsidR="0034217A" w:rsidRPr="0034217A" w:rsidRDefault="0034217A" w:rsidP="0034217A">
      <w:pPr>
        <w:keepNext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об антикоррупционной политик</w:t>
      </w:r>
      <w:r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е в МКДОУ «Д</w:t>
      </w:r>
      <w:r w:rsidRPr="0034217A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/</w:t>
      </w:r>
      <w:r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val="en-US"/>
        </w:rPr>
        <w:t>c</w:t>
      </w:r>
      <w:r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Купелек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»</w:t>
      </w: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Общее положение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Настоящая положение  разработана в целях защиты прав и свобод граждан, обеспечения законности, правопорядка и общественной безопасности в правонарушений  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МКДОУ «Д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Купелек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ДОУ)</w:t>
      </w:r>
      <w:proofErr w:type="gramStart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 .</w:t>
      </w:r>
      <w:proofErr w:type="gramEnd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задачи, основные принципы противодействия коррупции и меры предупреждения коррупционных правонарушений.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В  настоящем документе используются следующие основные понятия: антикоррупционная политика - деятельность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 по антикоррупционной политике, направленной на создание эффективной системы противодействия коррупции;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1.3. Антикоррупционная экспертиза правовых актов - деятельность по выявлению и описанию коррупционных факторов</w:t>
      </w:r>
      <w:proofErr w:type="gramStart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относящихся к действующим правовым актам и их проектам, разработке рекомендаций, направленных на устранение или ограничение действия таких факторов;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ДОУ, с использованием своих должностных полномочий и, связанных с ними возможностей. Подкуп данных лиц путѐ</w:t>
      </w:r>
      <w:proofErr w:type="gramStart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противоправного предоставления им физическими и юридическими лицами указанных благ и преимуществ;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1.5. Коррупционное правонарушение -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1.6. Коррупционный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Предупреждение коррупции - деятельность </w:t>
      </w:r>
      <w:r w:rsidR="00064EC2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1.8. Субъекты антикоррупционной политики - общественные или иные организации, уполномоченные в пределах своей компетенции осуществлять противодействие коррупции.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Основные принципы противодействия коррупции.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Противодействие коррупции в </w:t>
      </w:r>
      <w:r w:rsidR="00064EC2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 осуществляется на основе следующих принципов: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чёткой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Приоритета защиты прав и законных интересов физических и юридических лиц;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общественными объединениями и гражданами.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3. Основные меры предупреждения коррупционных правонарушений.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коррупционных правонарушений осуществляется путём применения следующих мер: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реализация антикоррупционных мероприятий;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антикоррупционной экспертизы правовых актов и (или) их проектов;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 образование и пропаганда; Иные меры, предусмотренные законодательством Российской Федерации.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4. План мероприятий по реализации стратегии антикоррупционной политики.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lastRenderedPageBreak/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воспитательных, организационных и иных мер, направленных на противодействие коррупции в </w:t>
      </w:r>
      <w:r w:rsidR="00064EC2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5. Антикоррупционная экспертиза правовых актов и проектов.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проведении антикоррупционной экспертизы правовых актов и (или) их проектов принимается руководителем </w:t>
      </w:r>
      <w:r w:rsidR="00064EC2">
        <w:rPr>
          <w:rFonts w:ascii="Times New Roman" w:eastAsia="Times New Roman" w:hAnsi="Times New Roman" w:cs="Times New Roman"/>
          <w:color w:val="000000"/>
          <w:sz w:val="24"/>
          <w:szCs w:val="24"/>
        </w:rPr>
        <w:t>МКДОУ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воспитанников, работники вправе обратиться к председателю комиссии по антикоррупционной политике </w:t>
      </w:r>
      <w:r w:rsidR="00064EC2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 с обращением о проведении антикоррупционной экспертизы действующих правовых актов.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6. Антикоррупционное образование и пропаганда.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решения задач по формированию антикоррупционного мировоззрения, повышение уровня самосознания и правовой культуры, в </w:t>
      </w:r>
      <w:r w:rsidR="00064EC2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 организовать изучение правовых и морально-этических аспектов деятельности.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антикоррупционного образования осуществляется комиссией по антикоррупционной деятельности.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является просветительская работа в </w:t>
      </w:r>
      <w:r w:rsidR="00064EC2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 по вопросам противостояния коррупции в любых её проявлениях, воспитания у граждан чувства гражданской ответственности, укрепление доверия к власти.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антикоррупционной пропаганды осуществляется в порядке, установленном законодательством.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7. Внедрение антикоррупционных механизмов.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мероприятий  с работниками </w:t>
      </w:r>
      <w:r w:rsidR="006030C5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по вопросам антикоррупционной политики в </w:t>
      </w:r>
      <w:proofErr w:type="spellStart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-образовательном процессе.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Усиление воспитательной и разъяснительной работы среди работников </w:t>
      </w:r>
      <w:r w:rsidR="006030C5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 по недопущению фактов вымогательства и получения денежных средств от родителей (законных представителей) воспитанников.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Усиление </w:t>
      </w:r>
      <w:proofErr w:type="gramStart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ведением документов, выявление нарушений должностных инструкций. Принятие дисциплинарных взысканий к лицам, допустивших нарушения.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Pr="0034217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заявлений, обращений участников образовательных отношений на предмет наличия в них информации о фактах коррупции в </w:t>
      </w:r>
      <w:r w:rsidR="006030C5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ДОУ. Принятие по результатам проверок организационных мер, направленных на предупреждение подобных фактов.</w:t>
      </w: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0C5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217A" w:rsidRPr="0034217A" w:rsidRDefault="0034217A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 по противодействию коррупции</w:t>
      </w:r>
    </w:p>
    <w:p w:rsidR="0034217A" w:rsidRPr="0034217A" w:rsidRDefault="0034217A" w:rsidP="006030C5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  </w:t>
      </w:r>
      <w:r w:rsidR="0060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МКДОУ «Д</w:t>
      </w:r>
      <w:r w:rsidR="006030C5" w:rsidRPr="0060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="0060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«</w:t>
      </w:r>
      <w:proofErr w:type="spellStart"/>
      <w:r w:rsidR="0060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Купелек</w:t>
      </w:r>
      <w:proofErr w:type="spellEnd"/>
      <w:r w:rsidR="00603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4217A" w:rsidRPr="0034217A" w:rsidRDefault="006030C5" w:rsidP="0034217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на </w:t>
      </w:r>
      <w:r w:rsidR="004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</w:t>
      </w:r>
      <w:r w:rsidR="0034217A"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217A" w:rsidRPr="0034217A" w:rsidTr="006030C5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6030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Меры по совершенствованию функционирования </w:t>
            </w:r>
            <w:r w:rsidR="00603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 в целях предупреждения</w:t>
            </w:r>
            <w:r w:rsidR="00603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коррупции</w:t>
            </w:r>
            <w:r w:rsidR="00603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Мониторинг изменений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действующего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 в области противодействия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="0060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Рассмотрение вопросов исполнения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 в области противодействия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коррупции на совещаниях и общих собраниях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трудового коллектива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Январь, май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6030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="0060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Разработка и утверждение положения  об антикоррупционной политике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6030C5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Разработка и утверждение положения  о нормах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профессиональной  этики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="0060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6030C5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4217A"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групп, родители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 Обеспечение наличия в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журнала учета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сообщений о совершении коррупционных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 работниками организации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1.5. Проведение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информационно-разъяснительной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с сотрудниками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 о нормах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закона от 25.12.2008 № 273-ФЗ "О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противодействии</w:t>
            </w:r>
            <w:proofErr w:type="gramEnd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коррупции"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 Оборудование стенда "Коррупции – нет!" Март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 Ежегодный анализ причин и условий,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способствующих</w:t>
            </w:r>
            <w:proofErr w:type="gramEnd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совершению 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коррупционных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="0034217A"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групп, родители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1.8. Разработка и утверждение локальных актов</w:t>
            </w:r>
          </w:p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="0034217A"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ДОУ, </w:t>
            </w:r>
            <w:proofErr w:type="gramStart"/>
            <w:r w:rsidR="0034217A"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устанавливающих</w:t>
            </w:r>
            <w:proofErr w:type="gramEnd"/>
            <w:r w:rsidR="0034217A"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систему внутреннего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финансово-хозяйственной деятельности.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Меры по правовому просвещению и повышению антикоррупционной компетентности сотрудников, воспитанников </w:t>
            </w:r>
            <w:r w:rsidR="00C67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 и их родителей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Организация и проведение в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борьбы с коррупцией мероприятий,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направленных</w:t>
            </w:r>
            <w:proofErr w:type="gramEnd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формирование нетерпимости в обществе к коррупционному поведению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9 декабря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="0034217A"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ФИЗО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Изготовление памяток для родителей: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"Если у вас требуют взятку";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"Взяткой могут быть…!";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"Это важно знать!"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="0034217A"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групп, родители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Конкурс среди воспитателей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ДОУ на лучшую методическую  разработку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 тематике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Проведение выставки рисунков "Я и мои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 старшего возраста</w:t>
            </w:r>
          </w:p>
        </w:tc>
      </w:tr>
      <w:tr w:rsidR="0034217A" w:rsidRPr="0034217A" w:rsidTr="006030C5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Взаимодействие </w:t>
            </w:r>
            <w:r w:rsidR="00C67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 и родителей (законных представителей) воспитанников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(законных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представителей) о правилах приема в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="0034217A"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Обеспечение наличия в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уголка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потребителя образовательных услуг, книги отзывов.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анализа и контроля устранения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обоснованных жалоб и замечаний участников образовательных отношений.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 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 Проведение ежегодного опроса родителей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воспитанников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с целью определения степени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удовлетворенности работой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ДОУ, качеством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предоставляемых образовательных услуг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3.4. Размещение на сайте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ДОУ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ежегодного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публичного отчета заведующего о результатах деятельности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3.5. Обеспечение функционирования сайта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для размещения на нем информации о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ДОУ, правил приема воспитанников,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публичного доклада руководителя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(в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соответствии с Федеральным законом от 29.12.2012 № 273-ФЗ "Об образовании в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Федерации" и постановления Правительства РФ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10.07.2013 № 582 «Об утверждении Правил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размещения на официальном сайте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образовательной организации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информационно-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телекоммуникационной сети "Интернет" и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обновления информации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образовательной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организации»)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C67C53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</w:tr>
      <w:tr w:rsidR="0034217A" w:rsidRPr="0034217A" w:rsidTr="006030C5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3.9. Организация работы комиссии по  распределению выплат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стимулирующего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  сотрудникам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 по распределению выплат </w:t>
            </w:r>
            <w:proofErr w:type="gramStart"/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стимулирующего</w:t>
            </w:r>
            <w:proofErr w:type="gramEnd"/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  сотрудникам </w:t>
            </w:r>
            <w:r w:rsidR="00C6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34217A" w:rsidRPr="0034217A" w:rsidRDefault="0034217A" w:rsidP="0034217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4217A" w:rsidRPr="0034217A" w:rsidRDefault="0034217A" w:rsidP="003421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67C53" w:rsidRDefault="00C67C53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7C53" w:rsidRDefault="00C67C53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7C53" w:rsidRDefault="00C67C53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ПАМЯТКА ДЛЯ ГРАЖДАН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( Как противостоять коррупции)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Что такое коррупция?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  </w:t>
      </w:r>
      <w:proofErr w:type="gramStart"/>
      <w:r w:rsidRPr="003421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Коррупция</w:t>
      </w:r>
      <w:r w:rsidRPr="0034217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– это злоупотребление служебным положением, дача взятки, получение 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 имущества или услуг имущественного характера, иных имущественных прав для себя или для третьих лиц либо незаконное предоставление такой выгоды указанному лицу другими физическими</w:t>
      </w:r>
      <w:proofErr w:type="gramEnd"/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лицами. (Федеральный закон «О противодействии коррупции» от 25.12.2008 г. № 273-ФЗ).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  К основным коррупционным преступлениям могут быть отнесены такие виды уголовно наказуемых деяний: злоупотребление должностными и иными полномочиями; получение и дача взятки; служебный подлог.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  Для того</w:t>
      </w:r>
      <w:proofErr w:type="gramStart"/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чтобы сообщить о фактах злоупотребления со стороны муниципальных служащих на территории муниципального образования своим служебным положением, Вы можете обратиться к руководителю соответствующего органа исполнительной власти на территории муниципального образования «Выборгский район» Ленинградской области с письменным заявлением.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  Сообщение информации</w:t>
      </w:r>
      <w:r w:rsidRPr="003421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21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 телефону или в письменном виде</w:t>
      </w:r>
      <w:r w:rsidRPr="0034217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должно содержать следующую информацию: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конкретно, о каком нарушении идет речь в Вашем заявлении;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конкретные даты и время;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конкретное место, в котором произошло нарушение;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почему Вы считаете, что указанная деятельность является должностным преступлением;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какие имеются вещественные доказательства или документы, подтверждающие Ваше заявление;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другие свидетели указанного нарушения;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как можно с Вами связаться для получения дополнительной информации (при этом конфиденциальность гарантируется).</w:t>
      </w:r>
    </w:p>
    <w:p w:rsidR="0034217A" w:rsidRPr="0034217A" w:rsidRDefault="0034217A" w:rsidP="0034217A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Поводом для обращения могут послужить: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взяточничество и принятие муниципальными служащими денежных подношений;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подарки либо иные формы передачи ценностей;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вымогательство, подстрекательство и /или получение взяток;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-занятие государственными служащими предпринимательской деятельностью;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информация о выездах муниципального служащего за пределы Российской Федерации за счет средств физических и юридических лиц;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- использование в целях, не связанных с исполнением должностных обязанностей, средств материально-технического или иного обеспечения муниципального имущества, а  также передачи их другим лицам.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br/>
      </w:r>
      <w:r w:rsidRPr="0034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 случае если у Вас вымогают взятку, необходимо: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1.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2. Внимательно выслушать и точно запомнить поставленные Вам условия (размеры сумм, наименование товаров и характер услуг, сроки и способы передачи взятки, последовательность решения вопросов).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3. Постараться перенести вопрос о времени и месте передачи взятки до следующей беседы или, если это невозможно, предложить хорошо знакомое Вам место для следующей встречи.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4. Поинтересоваться у собеседника о гарантиях решения вопроса в случае дачи взятки или совершения подкупа.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5. Не берите инициативу в разговоре на себя, больше позволяйте потенциальному взяткополучателю выговориться, сообщить Вам как можно больше информации.</w:t>
      </w:r>
    </w:p>
    <w:p w:rsidR="0034217A" w:rsidRPr="0034217A" w:rsidRDefault="0034217A" w:rsidP="0034217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217A">
        <w:rPr>
          <w:rFonts w:ascii="Times New Roman" w:eastAsia="Times New Roman" w:hAnsi="Times New Roman" w:cs="Times New Roman"/>
          <w:color w:val="000000"/>
          <w:sz w:val="27"/>
          <w:szCs w:val="27"/>
        </w:rPr>
        <w:t>6. Незамедлительно сообщить о факте вымогательства взятки в один из правоохранительных органов по месту Вашего жительства.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В дежурной части органа внутренних дел, приемной органов прокуратуры, Федеральной службы безопасности, Вас обязаны выслушать и принять сообщение в устной или письменной форме, при этом Вам следует поинтересоваться фамилией, должностью и рабочим телефоном сотрудника, принявшего сообщение.</w:t>
      </w:r>
    </w:p>
    <w:p w:rsidR="00FE1BDC" w:rsidRDefault="00FE1BDC" w:rsidP="0034217A">
      <w:pPr>
        <w:shd w:val="clear" w:color="auto" w:fill="FFFFFF" w:themeFill="background1"/>
      </w:pPr>
    </w:p>
    <w:sectPr w:rsidR="00FE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217A"/>
    <w:rsid w:val="00064EC2"/>
    <w:rsid w:val="0034217A"/>
    <w:rsid w:val="004F017A"/>
    <w:rsid w:val="006030C5"/>
    <w:rsid w:val="00C67C53"/>
    <w:rsid w:val="00D8176D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217A"/>
  </w:style>
  <w:style w:type="paragraph" w:styleId="a3">
    <w:name w:val="List Paragraph"/>
    <w:basedOn w:val="a"/>
    <w:uiPriority w:val="34"/>
    <w:qFormat/>
    <w:rsid w:val="0034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3</cp:revision>
  <dcterms:created xsi:type="dcterms:W3CDTF">2015-10-21T11:13:00Z</dcterms:created>
  <dcterms:modified xsi:type="dcterms:W3CDTF">2021-03-19T07:57:00Z</dcterms:modified>
</cp:coreProperties>
</file>